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97CEE">
      <w:pPr>
        <w:jc w:val="center"/>
        <w:rPr>
          <w:b/>
          <w:sz w:val="36"/>
        </w:rPr>
      </w:pPr>
      <w:r>
        <w:rPr>
          <w:rFonts w:hint="eastAsia"/>
          <w:b/>
          <w:sz w:val="36"/>
        </w:rPr>
        <w:t>《</w:t>
      </w:r>
      <w:r>
        <w:rPr>
          <w:rFonts w:hint="eastAsia"/>
          <w:b/>
          <w:sz w:val="36"/>
          <w:lang w:val="en-US" w:eastAsia="zh-CN"/>
        </w:rPr>
        <w:t>核电厂大修计划管理指南</w:t>
      </w:r>
      <w:r>
        <w:rPr>
          <w:rFonts w:hint="eastAsia"/>
          <w:b/>
          <w:sz w:val="36"/>
        </w:rPr>
        <w:t>》编制说明</w:t>
      </w:r>
    </w:p>
    <w:p w14:paraId="0BE9EB2D">
      <w:pPr>
        <w:jc w:val="center"/>
        <w:rPr>
          <w:b/>
          <w:sz w:val="36"/>
        </w:rPr>
      </w:pPr>
      <w:r>
        <w:rPr>
          <w:rFonts w:hint="eastAsia"/>
          <w:b/>
          <w:sz w:val="36"/>
        </w:rPr>
        <w:t>（征求意见稿）</w:t>
      </w:r>
    </w:p>
    <w:p w14:paraId="4655C3E3">
      <w:pPr>
        <w:outlineLvl w:val="0"/>
        <w:rPr>
          <w:b/>
          <w:sz w:val="28"/>
          <w:szCs w:val="28"/>
        </w:rPr>
      </w:pPr>
      <w:r>
        <w:rPr>
          <w:rFonts w:hint="eastAsia"/>
          <w:b/>
          <w:sz w:val="28"/>
          <w:szCs w:val="28"/>
        </w:rPr>
        <w:t>一、工作简况</w:t>
      </w:r>
    </w:p>
    <w:p w14:paraId="750F6465">
      <w:pPr>
        <w:rPr>
          <w:b/>
        </w:rPr>
      </w:pPr>
      <w:r>
        <w:rPr>
          <w:rFonts w:hint="eastAsia"/>
          <w:b/>
        </w:rPr>
        <w:t>1、任务来源</w:t>
      </w:r>
    </w:p>
    <w:p w14:paraId="32ABE4F2">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宋体" w:hAnsi="宋体" w:eastAsia="宋体"/>
          <w:lang w:val="en-US" w:eastAsia="zh-CN"/>
        </w:rPr>
      </w:pPr>
      <w:r>
        <w:rPr>
          <w:rFonts w:hint="eastAsia" w:ascii="宋体" w:hAnsi="宋体" w:eastAsia="宋体"/>
          <w:lang w:val="en-US" w:eastAsia="zh-CN"/>
        </w:rPr>
        <w:t>核电厂换料大修是核电厂关键工作之一，是影响核电厂运行业绩的核心工作，换料大修的安全、质量直接关系到电厂机组稳定运行，同时换料大修的工期和成本也直接关系到核电厂经济效益</w:t>
      </w:r>
      <w:r>
        <w:rPr>
          <w:rFonts w:hint="eastAsia"/>
          <w:lang w:val="en-US" w:eastAsia="zh-CN"/>
        </w:rPr>
        <w:t>，而高质量的大修计划可以助力核电厂实现优秀大修业绩。</w:t>
      </w:r>
    </w:p>
    <w:p w14:paraId="7EACEDCF">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s="Times New Roman"/>
          <w:lang w:val="en-US" w:eastAsia="zh-CN"/>
        </w:rPr>
      </w:pPr>
      <w:r>
        <w:rPr>
          <w:rFonts w:hint="eastAsia" w:ascii="宋体" w:hAnsi="宋体" w:eastAsia="宋体" w:cs="Times New Roman"/>
          <w:lang w:val="en-US" w:eastAsia="zh-CN"/>
        </w:rPr>
        <w:t>国电投核电技术服务有限公司以中国核能行业协会《关于征集2021年度第一批中国核能行业协会团体标准项目的通知》为契机，于2025年1月自主申报提交了《核电厂大修计划管理指南》团体标准的立项申请，并于2025年1月答辩通过立项评审会，立项成功。该项团体标准自2025年1月开始启动相关工作，拟于2025年12月30日前完成发布</w:t>
      </w:r>
      <w:r>
        <w:rPr>
          <w:rFonts w:hint="eastAsia" w:cs="Times New Roman"/>
          <w:lang w:val="en-US" w:eastAsia="zh-CN"/>
        </w:rPr>
        <w:t>。</w:t>
      </w:r>
      <w:r>
        <w:rPr>
          <w:rFonts w:hint="eastAsia" w:ascii="宋体" w:hAnsi="宋体" w:eastAsia="宋体" w:cs="Times New Roman"/>
          <w:lang w:val="en-US" w:eastAsia="zh-CN"/>
        </w:rPr>
        <w:t>现阶段我司已将草案撰写完成</w:t>
      </w:r>
      <w:r>
        <w:rPr>
          <w:rFonts w:hint="eastAsia" w:cs="Times New Roman"/>
          <w:lang w:val="en-US" w:eastAsia="zh-CN"/>
        </w:rPr>
        <w:t>。</w:t>
      </w:r>
    </w:p>
    <w:p w14:paraId="63A04A6F">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Times New Roman"/>
          <w:lang w:val="en-US" w:eastAsia="zh-CN"/>
        </w:rPr>
      </w:pPr>
      <w:r>
        <w:rPr>
          <w:rFonts w:hint="eastAsia" w:ascii="宋体" w:hAnsi="宋体" w:eastAsia="宋体" w:cs="Times New Roman"/>
          <w:lang w:val="en-US" w:eastAsia="zh-CN"/>
        </w:rPr>
        <w:t>2025年11月与中国核能行业协会签订</w:t>
      </w:r>
      <w:r>
        <w:rPr>
          <w:rFonts w:hint="eastAsia" w:cs="Times New Roman"/>
          <w:lang w:val="en-US" w:eastAsia="zh-CN"/>
        </w:rPr>
        <w:t>了</w:t>
      </w:r>
      <w:r>
        <w:rPr>
          <w:rFonts w:hint="eastAsia" w:ascii="宋体" w:hAnsi="宋体" w:eastAsia="宋体" w:cs="Times New Roman"/>
          <w:lang w:val="en-US" w:eastAsia="zh-CN"/>
        </w:rPr>
        <w:t>团标制定服务科技项目合同。</w:t>
      </w:r>
    </w:p>
    <w:p w14:paraId="2131F6AC">
      <w:pPr>
        <w:rPr>
          <w:b/>
        </w:rPr>
      </w:pPr>
      <w:r>
        <w:rPr>
          <w:rFonts w:hint="eastAsia"/>
          <w:b/>
        </w:rPr>
        <w:t>2、主要工作过程</w:t>
      </w:r>
    </w:p>
    <w:p w14:paraId="12FD7EE8">
      <w:pPr>
        <w:keepNext w:val="0"/>
        <w:keepLines w:val="0"/>
        <w:pageBreakBefore w:val="0"/>
        <w:widowControl/>
        <w:kinsoku/>
        <w:wordWrap/>
        <w:overflowPunct/>
        <w:topLinePunct w:val="0"/>
        <w:autoSpaceDE/>
        <w:autoSpaceDN/>
        <w:bidi w:val="0"/>
        <w:adjustRightInd/>
        <w:snapToGrid/>
        <w:ind w:firstLine="420" w:firstLineChars="0"/>
        <w:textAlignment w:val="auto"/>
        <w:rPr>
          <w:rFonts w:hint="eastAsia" w:ascii="宋体" w:hAnsi="宋体" w:eastAsia="宋体"/>
          <w:lang w:eastAsia="zh-CN"/>
        </w:rPr>
      </w:pPr>
      <w:r>
        <w:rPr>
          <w:rFonts w:hint="eastAsia" w:ascii="宋体" w:hAnsi="宋体" w:eastAsia="宋体"/>
        </w:rPr>
        <w:t>本标准的主要工作过程如下：</w:t>
      </w:r>
    </w:p>
    <w:p w14:paraId="037EEECF">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rPr>
        <w:t>（</w:t>
      </w:r>
      <w:r>
        <w:t>1）</w:t>
      </w:r>
      <w:r>
        <w:rPr>
          <w:highlight w:val="none"/>
        </w:rPr>
        <w:t>申报：202</w:t>
      </w:r>
      <w:r>
        <w:rPr>
          <w:rFonts w:hint="eastAsia"/>
          <w:highlight w:val="none"/>
          <w:lang w:val="en-US" w:eastAsia="zh-CN"/>
        </w:rPr>
        <w:t>5</w:t>
      </w:r>
      <w:r>
        <w:rPr>
          <w:highlight w:val="none"/>
        </w:rPr>
        <w:t>年1月提交了关于《</w:t>
      </w:r>
      <w:r>
        <w:rPr>
          <w:rFonts w:hint="eastAsia"/>
          <w:highlight w:val="none"/>
        </w:rPr>
        <w:t>核电厂</w:t>
      </w:r>
      <w:r>
        <w:rPr>
          <w:rFonts w:hint="eastAsia"/>
          <w:highlight w:val="none"/>
          <w:lang w:val="en-US" w:eastAsia="zh-CN"/>
        </w:rPr>
        <w:t>大修计划管理指南</w:t>
      </w:r>
      <w:r>
        <w:rPr>
          <w:highlight w:val="none"/>
        </w:rPr>
        <w:t>》标准相</w:t>
      </w:r>
      <w:r>
        <w:rPr>
          <w:rFonts w:hint="eastAsia"/>
          <w:highlight w:val="none"/>
        </w:rPr>
        <w:t>关</w:t>
      </w:r>
      <w:r>
        <w:rPr>
          <w:highlight w:val="none"/>
        </w:rPr>
        <w:t>立项资料，初步通过资料审核；</w:t>
      </w:r>
    </w:p>
    <w:p w14:paraId="6EAED3E8">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2）答辩：20</w:t>
      </w:r>
      <w:r>
        <w:rPr>
          <w:rFonts w:hint="eastAsia"/>
          <w:highlight w:val="none"/>
          <w:lang w:val="en-US" w:eastAsia="zh-CN"/>
        </w:rPr>
        <w:t>25</w:t>
      </w:r>
      <w:r>
        <w:rPr>
          <w:highlight w:val="none"/>
        </w:rPr>
        <w:t>年</w:t>
      </w:r>
      <w:r>
        <w:rPr>
          <w:rFonts w:hint="eastAsia"/>
          <w:highlight w:val="none"/>
          <w:lang w:val="en-US" w:eastAsia="zh-CN"/>
        </w:rPr>
        <w:t>1</w:t>
      </w:r>
      <w:r>
        <w:rPr>
          <w:highlight w:val="none"/>
        </w:rPr>
        <w:t>月通过了核能行业协会组织的答辩（线上），会中听取了来自</w:t>
      </w:r>
      <w:r>
        <w:rPr>
          <w:rFonts w:hint="eastAsia"/>
          <w:highlight w:val="none"/>
        </w:rPr>
        <w:t>中国核能电力股份有限公司、中核核电运行管理有限公司</w:t>
      </w:r>
      <w:r>
        <w:rPr>
          <w:rFonts w:hint="eastAsia"/>
          <w:highlight w:val="none"/>
          <w:lang w:eastAsia="zh-CN"/>
        </w:rPr>
        <w:t>、华能山东石岛湾核电有限公司、江苏核电有限公司、中核武汉核电运行技术股份有限公司、山东核电有限公司、国核示范电站有限责任公司、中国标准化研究院、中广核核电运营有限公司</w:t>
      </w:r>
      <w:r>
        <w:rPr>
          <w:highlight w:val="none"/>
        </w:rPr>
        <w:t>等机构的多名与会专家的意见与建议。</w:t>
      </w:r>
      <w:r>
        <w:rPr>
          <w:rFonts w:hint="eastAsia"/>
          <w:highlight w:val="none"/>
        </w:rPr>
        <w:t>并</w:t>
      </w:r>
      <w:r>
        <w:rPr>
          <w:highlight w:val="none"/>
        </w:rPr>
        <w:t>经过</w:t>
      </w:r>
      <w:r>
        <w:rPr>
          <w:rFonts w:hint="eastAsia"/>
          <w:highlight w:val="none"/>
        </w:rPr>
        <w:t>两周的拟立项公示</w:t>
      </w:r>
      <w:r>
        <w:rPr>
          <w:highlight w:val="none"/>
        </w:rPr>
        <w:t>，本团体标准立项成功；</w:t>
      </w:r>
    </w:p>
    <w:p w14:paraId="47B023A9">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3）草案撰写：202</w:t>
      </w:r>
      <w:r>
        <w:rPr>
          <w:rFonts w:hint="eastAsia"/>
          <w:highlight w:val="none"/>
          <w:lang w:val="en-US" w:eastAsia="zh-CN"/>
        </w:rPr>
        <w:t>5</w:t>
      </w:r>
      <w:r>
        <w:rPr>
          <w:highlight w:val="none"/>
        </w:rPr>
        <w:t>年1月开始，</w:t>
      </w:r>
      <w:r>
        <w:rPr>
          <w:rFonts w:hint="eastAsia"/>
          <w:highlight w:val="none"/>
        </w:rPr>
        <w:t>编写</w:t>
      </w:r>
      <w:r>
        <w:rPr>
          <w:highlight w:val="none"/>
        </w:rPr>
        <w:t>团队着手撰写该标准草案，经过反复修改，不断征求行业专家的意见与建议，</w:t>
      </w:r>
      <w:r>
        <w:rPr>
          <w:rFonts w:hint="eastAsia"/>
          <w:highlight w:val="none"/>
          <w:lang w:val="en-US" w:eastAsia="zh-CN"/>
        </w:rPr>
        <w:t>于</w:t>
      </w:r>
      <w:r>
        <w:rPr>
          <w:highlight w:val="none"/>
        </w:rPr>
        <w:t>202</w:t>
      </w:r>
      <w:r>
        <w:rPr>
          <w:rFonts w:hint="eastAsia"/>
          <w:highlight w:val="none"/>
          <w:lang w:val="en-US" w:eastAsia="zh-CN"/>
        </w:rPr>
        <w:t>5</w:t>
      </w:r>
      <w:r>
        <w:rPr>
          <w:highlight w:val="none"/>
        </w:rPr>
        <w:t>年</w:t>
      </w:r>
      <w:r>
        <w:rPr>
          <w:rFonts w:hint="eastAsia"/>
          <w:highlight w:val="none"/>
          <w:lang w:val="en-US" w:eastAsia="zh-CN"/>
        </w:rPr>
        <w:t>7</w:t>
      </w:r>
      <w:r>
        <w:rPr>
          <w:highlight w:val="none"/>
        </w:rPr>
        <w:t>月完成了初稿。</w:t>
      </w:r>
    </w:p>
    <w:p w14:paraId="154B9F18">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ascii="宋体" w:hAnsi="宋体" w:eastAsia="宋体"/>
          <w:highlight w:val="none"/>
          <w:lang w:eastAsia="zh-CN"/>
        </w:rPr>
        <w:t>（</w:t>
      </w:r>
      <w:r>
        <w:rPr>
          <w:rFonts w:hint="eastAsia" w:ascii="宋体" w:hAnsi="宋体" w:eastAsia="宋体"/>
          <w:highlight w:val="none"/>
          <w:lang w:val="en-US" w:eastAsia="zh-CN"/>
        </w:rPr>
        <w:t>4）</w:t>
      </w:r>
      <w:r>
        <w:rPr>
          <w:rFonts w:hint="eastAsia" w:ascii="宋体" w:hAnsi="宋体" w:eastAsia="宋体"/>
          <w:highlight w:val="none"/>
        </w:rPr>
        <w:t>征求意见阶段：</w:t>
      </w:r>
      <w:r>
        <w:rPr>
          <w:rFonts w:hint="eastAsia"/>
          <w:highlight w:val="none"/>
          <w:lang w:val="en-US" w:eastAsia="zh-CN"/>
        </w:rPr>
        <w:t>2025年1月至今，根据专家审查意见，对标准草案进行修改，修改完成后提交征求意见</w:t>
      </w:r>
      <w:r>
        <w:rPr>
          <w:rFonts w:hint="eastAsia" w:ascii="宋体" w:hAnsi="宋体" w:eastAsia="宋体"/>
          <w:highlight w:val="none"/>
          <w:lang w:eastAsia="zh-CN"/>
        </w:rPr>
        <w:t>。</w:t>
      </w:r>
    </w:p>
    <w:p w14:paraId="5141361C">
      <w:pPr>
        <w:rPr>
          <w:b/>
        </w:rPr>
      </w:pPr>
      <w:r>
        <w:rPr>
          <w:rFonts w:hint="eastAsia"/>
          <w:b/>
        </w:rPr>
        <w:t>3、</w:t>
      </w:r>
      <w:r>
        <w:rPr>
          <w:b/>
        </w:rPr>
        <w:t>主要参加单位和工作组成员及其所作的工作等</w:t>
      </w:r>
    </w:p>
    <w:p w14:paraId="2F827E5A">
      <w:pPr>
        <w:ind w:firstLine="480" w:firstLineChars="200"/>
        <w:rPr>
          <w:rFonts w:hint="default" w:ascii="宋体" w:hAnsi="宋体" w:eastAsia="宋体"/>
          <w:color w:val="auto"/>
          <w:sz w:val="24"/>
          <w:szCs w:val="20"/>
          <w:lang w:val="en-US" w:eastAsia="zh-CN"/>
        </w:rPr>
      </w:pPr>
      <w:r>
        <w:rPr>
          <w:rFonts w:hint="eastAsia" w:ascii="宋体" w:hAnsi="宋体" w:eastAsia="宋体"/>
          <w:color w:val="auto"/>
          <w:sz w:val="24"/>
          <w:szCs w:val="20"/>
          <w:lang w:val="en-US" w:eastAsia="zh-CN"/>
        </w:rPr>
        <w:t>本标准由</w:t>
      </w:r>
      <w:r>
        <w:rPr>
          <w:rFonts w:hint="eastAsia"/>
          <w:lang w:val="en-US" w:eastAsia="zh-CN"/>
        </w:rPr>
        <w:t>国电投核电技术服务有限公司</w:t>
      </w:r>
      <w:r>
        <w:rPr>
          <w:rFonts w:hint="eastAsia" w:ascii="宋体" w:hAnsi="宋体" w:eastAsia="宋体"/>
          <w:color w:val="auto"/>
          <w:sz w:val="24"/>
          <w:szCs w:val="20"/>
          <w:lang w:val="en-US" w:eastAsia="zh-CN"/>
        </w:rPr>
        <w:t>起草编制，技术支持单位为</w:t>
      </w:r>
      <w:r>
        <w:rPr>
          <w:rFonts w:hint="eastAsia"/>
          <w:color w:val="auto"/>
          <w:sz w:val="24"/>
          <w:szCs w:val="20"/>
          <w:lang w:val="en-US" w:eastAsia="zh-CN"/>
        </w:rPr>
        <w:t>山东核电</w:t>
      </w:r>
      <w:r>
        <w:rPr>
          <w:rFonts w:hint="eastAsia" w:ascii="宋体" w:hAnsi="宋体" w:eastAsia="宋体"/>
          <w:color w:val="auto"/>
          <w:sz w:val="24"/>
          <w:szCs w:val="20"/>
          <w:lang w:val="en-US" w:eastAsia="zh-CN"/>
        </w:rPr>
        <w:t>有限公司、湛江核电有限公司、国核示范电站有限公司、三门核电有限公司、</w:t>
      </w:r>
      <w:r>
        <w:rPr>
          <w:rFonts w:hint="eastAsia"/>
          <w:color w:val="auto"/>
          <w:sz w:val="24"/>
          <w:szCs w:val="20"/>
          <w:lang w:val="en-US" w:eastAsia="zh-CN"/>
        </w:rPr>
        <w:t>阳江核电有限公司、</w:t>
      </w:r>
      <w:r>
        <w:rPr>
          <w:rFonts w:hint="eastAsia" w:ascii="宋体" w:hAnsi="宋体" w:eastAsia="宋体"/>
          <w:color w:val="auto"/>
          <w:sz w:val="24"/>
          <w:szCs w:val="20"/>
          <w:lang w:val="en-US" w:eastAsia="zh-CN"/>
        </w:rPr>
        <w:t>中广核核电运营有限公司。各单位负责开展的具体工作如下：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136"/>
        <w:gridCol w:w="3379"/>
        <w:gridCol w:w="2251"/>
      </w:tblGrid>
      <w:tr w14:paraId="64EF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54" w:type="dxa"/>
            <w:noWrap w:val="0"/>
            <w:vAlign w:val="top"/>
          </w:tcPr>
          <w:p w14:paraId="06E8080A">
            <w:pPr>
              <w:widowControl w:val="0"/>
              <w:spacing w:line="240" w:lineRule="auto"/>
              <w:jc w:val="center"/>
              <w:rPr>
                <w:b/>
                <w:bCs/>
              </w:rPr>
            </w:pPr>
            <w:r>
              <w:rPr>
                <w:rFonts w:hint="eastAsia"/>
                <w:b/>
                <w:bCs/>
              </w:rPr>
              <w:t>序号</w:t>
            </w:r>
          </w:p>
        </w:tc>
        <w:tc>
          <w:tcPr>
            <w:tcW w:w="2136" w:type="dxa"/>
            <w:noWrap w:val="0"/>
            <w:vAlign w:val="top"/>
          </w:tcPr>
          <w:p w14:paraId="41F746FC">
            <w:pPr>
              <w:widowControl w:val="0"/>
              <w:spacing w:line="240" w:lineRule="auto"/>
              <w:jc w:val="center"/>
              <w:rPr>
                <w:b/>
                <w:bCs/>
              </w:rPr>
            </w:pPr>
            <w:r>
              <w:rPr>
                <w:rFonts w:hint="eastAsia"/>
                <w:b/>
                <w:bCs/>
              </w:rPr>
              <w:t>主要参加单位</w:t>
            </w:r>
          </w:p>
        </w:tc>
        <w:tc>
          <w:tcPr>
            <w:tcW w:w="3379" w:type="dxa"/>
            <w:noWrap w:val="0"/>
            <w:vAlign w:val="top"/>
          </w:tcPr>
          <w:p w14:paraId="6607448F">
            <w:pPr>
              <w:widowControl w:val="0"/>
              <w:spacing w:line="240" w:lineRule="auto"/>
              <w:jc w:val="center"/>
              <w:rPr>
                <w:b/>
                <w:bCs/>
              </w:rPr>
            </w:pPr>
            <w:r>
              <w:rPr>
                <w:rFonts w:hint="eastAsia"/>
                <w:b/>
                <w:bCs/>
              </w:rPr>
              <w:t>工作组成员</w:t>
            </w:r>
          </w:p>
        </w:tc>
        <w:tc>
          <w:tcPr>
            <w:tcW w:w="2251" w:type="dxa"/>
            <w:noWrap w:val="0"/>
            <w:vAlign w:val="top"/>
          </w:tcPr>
          <w:p w14:paraId="04FC6177">
            <w:pPr>
              <w:widowControl w:val="0"/>
              <w:spacing w:line="240" w:lineRule="auto"/>
              <w:jc w:val="center"/>
              <w:rPr>
                <w:b/>
                <w:bCs/>
              </w:rPr>
            </w:pPr>
            <w:r>
              <w:rPr>
                <w:rFonts w:hint="eastAsia"/>
                <w:b/>
                <w:bCs/>
              </w:rPr>
              <w:t>具体工作</w:t>
            </w:r>
          </w:p>
        </w:tc>
      </w:tr>
      <w:tr w14:paraId="2887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noWrap w:val="0"/>
            <w:vAlign w:val="center"/>
          </w:tcPr>
          <w:p w14:paraId="7F853881">
            <w:pPr>
              <w:widowControl w:val="0"/>
              <w:numPr>
                <w:ilvl w:val="0"/>
                <w:numId w:val="1"/>
              </w:numPr>
              <w:spacing w:line="240" w:lineRule="auto"/>
              <w:ind w:left="425" w:leftChars="0" w:hanging="425" w:firstLineChars="0"/>
              <w:jc w:val="center"/>
            </w:pPr>
          </w:p>
        </w:tc>
        <w:tc>
          <w:tcPr>
            <w:tcW w:w="2136" w:type="dxa"/>
            <w:noWrap w:val="0"/>
            <w:vAlign w:val="center"/>
          </w:tcPr>
          <w:p w14:paraId="72B19F52">
            <w:pPr>
              <w:widowControl w:val="0"/>
              <w:spacing w:line="240" w:lineRule="auto"/>
              <w:jc w:val="both"/>
              <w:rPr>
                <w:rFonts w:hint="default" w:ascii="宋体" w:hAnsi="宋体" w:eastAsia="宋体" w:cs="Times New Roman"/>
                <w:kern w:val="2"/>
                <w:sz w:val="24"/>
                <w:szCs w:val="24"/>
                <w:lang w:val="en-US" w:eastAsia="zh-CN" w:bidi="ar-SA"/>
              </w:rPr>
            </w:pPr>
            <w:r>
              <w:rPr>
                <w:rFonts w:hint="eastAsia"/>
                <w:lang w:val="en-US" w:eastAsia="zh-CN"/>
              </w:rPr>
              <w:t>国电投核电技术服务有限公司</w:t>
            </w:r>
          </w:p>
        </w:tc>
        <w:tc>
          <w:tcPr>
            <w:tcW w:w="3379" w:type="dxa"/>
            <w:noWrap w:val="0"/>
            <w:vAlign w:val="center"/>
          </w:tcPr>
          <w:p w14:paraId="442E9114">
            <w:pPr>
              <w:widowControl w:val="0"/>
              <w:spacing w:line="240" w:lineRule="auto"/>
              <w:jc w:val="both"/>
              <w:rPr>
                <w:rFonts w:hint="default" w:ascii="宋体" w:hAnsi="宋体" w:eastAsia="宋体" w:cs="Times New Roman"/>
                <w:kern w:val="2"/>
                <w:sz w:val="24"/>
                <w:szCs w:val="24"/>
                <w:lang w:val="en-US" w:eastAsia="zh-CN" w:bidi="ar-SA"/>
              </w:rPr>
            </w:pPr>
            <w:r>
              <w:rPr>
                <w:rFonts w:hint="eastAsia"/>
                <w:lang w:val="en-US" w:eastAsia="zh-CN"/>
              </w:rPr>
              <w:t>许礼伦、张磊、管铮、张文君、张驰、栾永刚、沈松、王升平、杜欢、孙飞岳、谢毅辉、沈力、苑磊、张铎</w:t>
            </w:r>
          </w:p>
        </w:tc>
        <w:tc>
          <w:tcPr>
            <w:tcW w:w="2251" w:type="dxa"/>
            <w:noWrap w:val="0"/>
            <w:vAlign w:val="center"/>
          </w:tcPr>
          <w:p w14:paraId="58A905E7">
            <w:pPr>
              <w:widowControl w:val="0"/>
              <w:spacing w:line="240" w:lineRule="auto"/>
              <w:jc w:val="both"/>
              <w:rPr>
                <w:rFonts w:hint="eastAsia"/>
                <w:lang w:eastAsia="zh-CN"/>
              </w:rPr>
            </w:pPr>
            <w:r>
              <w:rPr>
                <w:rFonts w:hint="eastAsia"/>
                <w:lang w:val="en-US" w:eastAsia="zh-CN"/>
              </w:rPr>
              <w:t>标准主要起草人</w:t>
            </w:r>
            <w:r>
              <w:rPr>
                <w:rFonts w:hint="eastAsia"/>
                <w:lang w:eastAsia="zh-CN"/>
              </w:rPr>
              <w:t>，</w:t>
            </w:r>
          </w:p>
          <w:p w14:paraId="1C9991C8">
            <w:pPr>
              <w:widowControl w:val="0"/>
              <w:spacing w:line="240" w:lineRule="auto"/>
              <w:jc w:val="both"/>
              <w:rPr>
                <w:rFonts w:hint="eastAsia" w:ascii="宋体" w:hAnsi="宋体" w:eastAsia="宋体" w:cs="Times New Roman"/>
                <w:kern w:val="2"/>
                <w:sz w:val="24"/>
                <w:szCs w:val="24"/>
                <w:lang w:val="en-US" w:eastAsia="zh-CN" w:bidi="ar-SA"/>
              </w:rPr>
            </w:pPr>
            <w:r>
              <w:rPr>
                <w:rFonts w:hint="eastAsia"/>
              </w:rPr>
              <w:t>负责方案制定、资料收集、现场情况调研确定以及标准条款的编写等工作</w:t>
            </w:r>
          </w:p>
        </w:tc>
      </w:tr>
      <w:tr w14:paraId="3D0C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noWrap w:val="0"/>
            <w:vAlign w:val="center"/>
          </w:tcPr>
          <w:p w14:paraId="2A72A9A3">
            <w:pPr>
              <w:widowControl w:val="0"/>
              <w:numPr>
                <w:ilvl w:val="0"/>
                <w:numId w:val="1"/>
              </w:numPr>
              <w:spacing w:line="240" w:lineRule="auto"/>
              <w:ind w:left="425" w:leftChars="0" w:hanging="425" w:firstLineChars="0"/>
              <w:jc w:val="center"/>
            </w:pPr>
          </w:p>
        </w:tc>
        <w:tc>
          <w:tcPr>
            <w:tcW w:w="2136" w:type="dxa"/>
            <w:noWrap w:val="0"/>
            <w:vAlign w:val="center"/>
          </w:tcPr>
          <w:p w14:paraId="40A24E26">
            <w:pPr>
              <w:widowControl w:val="0"/>
              <w:spacing w:line="240" w:lineRule="auto"/>
              <w:jc w:val="both"/>
              <w:rPr>
                <w:rFonts w:hint="default" w:ascii="宋体" w:hAnsi="宋体" w:eastAsia="宋体" w:cs="Times New Roman"/>
                <w:kern w:val="2"/>
                <w:sz w:val="24"/>
                <w:szCs w:val="24"/>
                <w:lang w:val="en-US" w:eastAsia="zh-CN" w:bidi="ar-SA"/>
              </w:rPr>
            </w:pPr>
            <w:r>
              <w:rPr>
                <w:rFonts w:hint="eastAsia" w:cs="Times New Roman"/>
                <w:kern w:val="2"/>
                <w:sz w:val="24"/>
                <w:szCs w:val="24"/>
                <w:lang w:val="en-US" w:eastAsia="zh-CN" w:bidi="ar-SA"/>
              </w:rPr>
              <w:t>山东核电有限公司</w:t>
            </w:r>
          </w:p>
        </w:tc>
        <w:tc>
          <w:tcPr>
            <w:tcW w:w="3379" w:type="dxa"/>
            <w:noWrap w:val="0"/>
            <w:vAlign w:val="center"/>
          </w:tcPr>
          <w:p w14:paraId="6FC41ED5">
            <w:pPr>
              <w:widowControl w:val="0"/>
              <w:spacing w:line="240" w:lineRule="auto"/>
              <w:jc w:val="both"/>
              <w:rPr>
                <w:rFonts w:hint="default" w:ascii="宋体" w:hAnsi="宋体" w:eastAsia="宋体" w:cs="Times New Roman"/>
                <w:kern w:val="2"/>
                <w:sz w:val="24"/>
                <w:szCs w:val="24"/>
                <w:lang w:val="en-US" w:eastAsia="zh-CN" w:bidi="ar-SA"/>
              </w:rPr>
            </w:pPr>
            <w:r>
              <w:rPr>
                <w:rFonts w:hint="eastAsia" w:eastAsia="宋体"/>
                <w:lang w:val="en-US" w:eastAsia="zh-CN"/>
              </w:rPr>
              <w:t>徐剑</w:t>
            </w:r>
          </w:p>
        </w:tc>
        <w:tc>
          <w:tcPr>
            <w:tcW w:w="2251" w:type="dxa"/>
            <w:noWrap w:val="0"/>
            <w:vAlign w:val="center"/>
          </w:tcPr>
          <w:p w14:paraId="0F44A5EC">
            <w:pPr>
              <w:widowControl w:val="0"/>
              <w:spacing w:line="240" w:lineRule="auto"/>
              <w:jc w:val="both"/>
              <w:rPr>
                <w:rFonts w:hint="eastAsia" w:ascii="宋体" w:hAnsi="宋体" w:eastAsia="宋体" w:cs="Times New Roman"/>
                <w:kern w:val="2"/>
                <w:sz w:val="24"/>
                <w:szCs w:val="24"/>
                <w:lang w:val="en-US" w:eastAsia="zh-CN" w:bidi="ar-SA"/>
              </w:rPr>
            </w:pPr>
            <w:r>
              <w:rPr>
                <w:rFonts w:hint="eastAsia"/>
                <w:lang w:val="en-US" w:eastAsia="zh-CN"/>
              </w:rPr>
              <w:t>标准草案的编写指导与审查</w:t>
            </w:r>
          </w:p>
        </w:tc>
      </w:tr>
      <w:tr w14:paraId="4B9D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noWrap w:val="0"/>
            <w:vAlign w:val="center"/>
          </w:tcPr>
          <w:p w14:paraId="6A78B4B9">
            <w:pPr>
              <w:widowControl w:val="0"/>
              <w:numPr>
                <w:ilvl w:val="0"/>
                <w:numId w:val="1"/>
              </w:numPr>
              <w:spacing w:line="240" w:lineRule="auto"/>
              <w:ind w:left="425" w:leftChars="0" w:hanging="425" w:firstLineChars="0"/>
              <w:jc w:val="center"/>
            </w:pPr>
          </w:p>
        </w:tc>
        <w:tc>
          <w:tcPr>
            <w:tcW w:w="2136" w:type="dxa"/>
            <w:noWrap w:val="0"/>
            <w:vAlign w:val="center"/>
          </w:tcPr>
          <w:p w14:paraId="75D5DE14">
            <w:pPr>
              <w:widowControl w:val="0"/>
              <w:spacing w:line="240" w:lineRule="auto"/>
              <w:jc w:val="both"/>
              <w:rPr>
                <w:rFonts w:hint="default"/>
                <w:lang w:val="en-US" w:eastAsia="zh-CN"/>
              </w:rPr>
            </w:pPr>
            <w:r>
              <w:rPr>
                <w:rFonts w:hint="eastAsia"/>
                <w:lang w:val="en-US" w:eastAsia="zh-CN"/>
              </w:rPr>
              <w:t>湛江核电有限公司</w:t>
            </w:r>
          </w:p>
        </w:tc>
        <w:tc>
          <w:tcPr>
            <w:tcW w:w="3379" w:type="dxa"/>
            <w:noWrap w:val="0"/>
            <w:vAlign w:val="center"/>
          </w:tcPr>
          <w:p w14:paraId="1A6CB83C">
            <w:pPr>
              <w:widowControl w:val="0"/>
              <w:spacing w:line="240" w:lineRule="auto"/>
              <w:jc w:val="both"/>
              <w:rPr>
                <w:rFonts w:hint="eastAsia"/>
                <w:color w:val="auto"/>
                <w:sz w:val="24"/>
                <w:szCs w:val="20"/>
                <w:lang w:val="en-US" w:eastAsia="zh-CN"/>
              </w:rPr>
            </w:pPr>
            <w:r>
              <w:rPr>
                <w:rFonts w:hint="eastAsia"/>
                <w:lang w:val="en-US" w:eastAsia="zh-CN"/>
              </w:rPr>
              <w:t>王俊鹏</w:t>
            </w:r>
          </w:p>
        </w:tc>
        <w:tc>
          <w:tcPr>
            <w:tcW w:w="2251" w:type="dxa"/>
            <w:noWrap w:val="0"/>
            <w:vAlign w:val="center"/>
          </w:tcPr>
          <w:p w14:paraId="4526177E">
            <w:pPr>
              <w:widowControl w:val="0"/>
              <w:spacing w:line="240" w:lineRule="auto"/>
              <w:jc w:val="both"/>
              <w:rPr>
                <w:rFonts w:hint="eastAsia"/>
                <w:lang w:val="en-US" w:eastAsia="zh-CN"/>
              </w:rPr>
            </w:pPr>
            <w:r>
              <w:rPr>
                <w:rFonts w:hint="eastAsia"/>
                <w:lang w:val="en-US" w:eastAsia="zh-CN"/>
              </w:rPr>
              <w:t>标准草案的编写指导与审查</w:t>
            </w:r>
          </w:p>
        </w:tc>
      </w:tr>
      <w:tr w14:paraId="7A1E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noWrap w:val="0"/>
            <w:vAlign w:val="center"/>
          </w:tcPr>
          <w:p w14:paraId="52AB577A">
            <w:pPr>
              <w:widowControl w:val="0"/>
              <w:numPr>
                <w:ilvl w:val="0"/>
                <w:numId w:val="1"/>
              </w:numPr>
              <w:spacing w:line="240" w:lineRule="auto"/>
              <w:ind w:left="425" w:leftChars="0" w:hanging="425" w:firstLineChars="0"/>
              <w:jc w:val="center"/>
            </w:pPr>
          </w:p>
        </w:tc>
        <w:tc>
          <w:tcPr>
            <w:tcW w:w="2136" w:type="dxa"/>
            <w:noWrap w:val="0"/>
            <w:vAlign w:val="center"/>
          </w:tcPr>
          <w:p w14:paraId="1CFBD61D">
            <w:pPr>
              <w:widowControl w:val="0"/>
              <w:spacing w:line="240" w:lineRule="auto"/>
              <w:jc w:val="both"/>
            </w:pPr>
            <w:r>
              <w:rPr>
                <w:rFonts w:hint="eastAsia" w:ascii="宋体" w:hAnsi="宋体" w:eastAsia="宋体"/>
                <w:color w:val="auto"/>
                <w:sz w:val="24"/>
                <w:szCs w:val="20"/>
                <w:lang w:val="en-US" w:eastAsia="zh-CN"/>
              </w:rPr>
              <w:t>国核示范电站有限公司</w:t>
            </w:r>
          </w:p>
        </w:tc>
        <w:tc>
          <w:tcPr>
            <w:tcW w:w="3379" w:type="dxa"/>
            <w:noWrap w:val="0"/>
            <w:vAlign w:val="center"/>
          </w:tcPr>
          <w:p w14:paraId="6DACA5FA">
            <w:pPr>
              <w:widowControl w:val="0"/>
              <w:spacing w:line="240" w:lineRule="auto"/>
              <w:jc w:val="both"/>
              <w:rPr>
                <w:rFonts w:hint="default" w:eastAsia="宋体"/>
                <w:lang w:val="en-US" w:eastAsia="zh-CN"/>
              </w:rPr>
            </w:pPr>
            <w:r>
              <w:rPr>
                <w:rFonts w:hint="eastAsia" w:eastAsia="宋体"/>
                <w:lang w:val="en-US" w:eastAsia="zh-CN"/>
              </w:rPr>
              <w:t>王雷</w:t>
            </w:r>
          </w:p>
        </w:tc>
        <w:tc>
          <w:tcPr>
            <w:tcW w:w="2251" w:type="dxa"/>
            <w:noWrap w:val="0"/>
            <w:vAlign w:val="center"/>
          </w:tcPr>
          <w:p w14:paraId="6C41967E">
            <w:pPr>
              <w:widowControl w:val="0"/>
              <w:spacing w:line="240" w:lineRule="auto"/>
              <w:jc w:val="both"/>
              <w:rPr>
                <w:rFonts w:hint="default" w:eastAsia="宋体"/>
                <w:lang w:val="en-US" w:eastAsia="zh-CN"/>
              </w:rPr>
            </w:pPr>
            <w:r>
              <w:rPr>
                <w:rFonts w:hint="eastAsia"/>
              </w:rPr>
              <w:t>标准资料的收集和使用情况的调研</w:t>
            </w:r>
          </w:p>
        </w:tc>
      </w:tr>
      <w:tr w14:paraId="13EB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noWrap w:val="0"/>
            <w:vAlign w:val="center"/>
          </w:tcPr>
          <w:p w14:paraId="26C6F251">
            <w:pPr>
              <w:widowControl w:val="0"/>
              <w:numPr>
                <w:ilvl w:val="0"/>
                <w:numId w:val="1"/>
              </w:numPr>
              <w:spacing w:line="240" w:lineRule="auto"/>
              <w:ind w:left="425" w:leftChars="0" w:hanging="425" w:firstLineChars="0"/>
              <w:jc w:val="center"/>
            </w:pPr>
          </w:p>
        </w:tc>
        <w:tc>
          <w:tcPr>
            <w:tcW w:w="2136" w:type="dxa"/>
            <w:noWrap w:val="0"/>
            <w:vAlign w:val="center"/>
          </w:tcPr>
          <w:p w14:paraId="1D23521B">
            <w:pPr>
              <w:widowControl w:val="0"/>
              <w:spacing w:line="240" w:lineRule="auto"/>
              <w:jc w:val="both"/>
              <w:rPr>
                <w:rFonts w:ascii="宋体" w:hAnsi="宋体" w:eastAsia="宋体" w:cs="Times New Roman"/>
                <w:kern w:val="2"/>
                <w:sz w:val="24"/>
                <w:szCs w:val="24"/>
                <w:lang w:val="en-US" w:eastAsia="zh-CN" w:bidi="ar-SA"/>
              </w:rPr>
            </w:pPr>
            <w:r>
              <w:rPr>
                <w:rFonts w:hint="eastAsia"/>
                <w:color w:val="auto"/>
                <w:sz w:val="24"/>
                <w:szCs w:val="20"/>
                <w:lang w:val="en-US" w:eastAsia="zh-CN"/>
              </w:rPr>
              <w:t>三门核电有限公</w:t>
            </w:r>
            <w:r>
              <w:rPr>
                <w:rFonts w:hint="eastAsia"/>
                <w:lang w:val="en-US" w:eastAsia="zh-CN"/>
              </w:rPr>
              <w:t>司</w:t>
            </w:r>
          </w:p>
        </w:tc>
        <w:tc>
          <w:tcPr>
            <w:tcW w:w="3379" w:type="dxa"/>
            <w:noWrap w:val="0"/>
            <w:vAlign w:val="center"/>
          </w:tcPr>
          <w:p w14:paraId="16993CE8">
            <w:pPr>
              <w:widowControl w:val="0"/>
              <w:spacing w:line="240" w:lineRule="auto"/>
              <w:jc w:val="both"/>
              <w:rPr>
                <w:rFonts w:hint="eastAsia" w:ascii="宋体" w:hAnsi="宋体" w:eastAsia="宋体" w:cs="Times New Roman"/>
                <w:kern w:val="2"/>
                <w:sz w:val="24"/>
                <w:szCs w:val="24"/>
                <w:lang w:val="en-US" w:eastAsia="zh-CN" w:bidi="ar-SA"/>
              </w:rPr>
            </w:pPr>
            <w:r>
              <w:rPr>
                <w:rFonts w:hint="eastAsia"/>
                <w:color w:val="auto"/>
                <w:sz w:val="24"/>
                <w:szCs w:val="20"/>
                <w:lang w:val="en-US" w:eastAsia="zh-CN"/>
              </w:rPr>
              <w:t>杨洋</w:t>
            </w:r>
            <w:bookmarkStart w:id="0" w:name="_GoBack"/>
            <w:bookmarkEnd w:id="0"/>
          </w:p>
        </w:tc>
        <w:tc>
          <w:tcPr>
            <w:tcW w:w="2251" w:type="dxa"/>
            <w:noWrap w:val="0"/>
            <w:vAlign w:val="center"/>
          </w:tcPr>
          <w:p w14:paraId="2E37E11A">
            <w:pPr>
              <w:widowControl w:val="0"/>
              <w:spacing w:line="240" w:lineRule="auto"/>
              <w:jc w:val="both"/>
            </w:pPr>
            <w:r>
              <w:rPr>
                <w:rFonts w:hint="eastAsia"/>
              </w:rPr>
              <w:t>标准资料的收集和使用情况的调研</w:t>
            </w:r>
          </w:p>
        </w:tc>
      </w:tr>
      <w:tr w14:paraId="438C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noWrap w:val="0"/>
            <w:vAlign w:val="center"/>
          </w:tcPr>
          <w:p w14:paraId="365AED44">
            <w:pPr>
              <w:widowControl w:val="0"/>
              <w:numPr>
                <w:ilvl w:val="0"/>
                <w:numId w:val="1"/>
              </w:numPr>
              <w:spacing w:line="240" w:lineRule="auto"/>
              <w:ind w:left="425" w:leftChars="0" w:hanging="425" w:firstLineChars="0"/>
              <w:jc w:val="center"/>
            </w:pPr>
          </w:p>
        </w:tc>
        <w:tc>
          <w:tcPr>
            <w:tcW w:w="2136" w:type="dxa"/>
            <w:shd w:val="clear"/>
            <w:noWrap w:val="0"/>
            <w:vAlign w:val="center"/>
          </w:tcPr>
          <w:p w14:paraId="434E545A">
            <w:pPr>
              <w:widowControl w:val="0"/>
              <w:spacing w:line="240" w:lineRule="auto"/>
              <w:jc w:val="both"/>
              <w:rPr>
                <w:rFonts w:hint="eastAsia" w:ascii="宋体" w:hAnsi="宋体" w:eastAsia="宋体" w:cs="Times New Roman"/>
                <w:color w:val="auto"/>
                <w:kern w:val="2"/>
                <w:sz w:val="24"/>
                <w:szCs w:val="20"/>
                <w:lang w:val="en-US" w:eastAsia="zh-CN" w:bidi="ar-SA"/>
              </w:rPr>
            </w:pPr>
            <w:r>
              <w:rPr>
                <w:rFonts w:hint="eastAsia"/>
                <w:color w:val="auto"/>
                <w:sz w:val="24"/>
                <w:szCs w:val="20"/>
                <w:lang w:val="en-US" w:eastAsia="zh-CN"/>
              </w:rPr>
              <w:t>阳江核电有限公司</w:t>
            </w:r>
          </w:p>
        </w:tc>
        <w:tc>
          <w:tcPr>
            <w:tcW w:w="3379" w:type="dxa"/>
            <w:shd w:val="clear"/>
            <w:noWrap w:val="0"/>
            <w:vAlign w:val="center"/>
          </w:tcPr>
          <w:p w14:paraId="291F3101">
            <w:pPr>
              <w:widowControl w:val="0"/>
              <w:spacing w:line="240" w:lineRule="auto"/>
              <w:jc w:val="both"/>
              <w:rPr>
                <w:rFonts w:hint="eastAsia" w:ascii="宋体" w:hAnsi="宋体" w:eastAsia="宋体" w:cs="Times New Roman"/>
                <w:color w:val="auto"/>
                <w:kern w:val="2"/>
                <w:sz w:val="24"/>
                <w:szCs w:val="20"/>
                <w:lang w:val="en-US" w:eastAsia="zh-CN" w:bidi="ar-SA"/>
              </w:rPr>
            </w:pPr>
            <w:r>
              <w:rPr>
                <w:rFonts w:hint="eastAsia"/>
                <w:color w:val="auto"/>
                <w:sz w:val="24"/>
                <w:szCs w:val="20"/>
                <w:lang w:val="en-US" w:eastAsia="zh-CN"/>
              </w:rPr>
              <w:t>杨正强</w:t>
            </w:r>
          </w:p>
        </w:tc>
        <w:tc>
          <w:tcPr>
            <w:tcW w:w="2251" w:type="dxa"/>
            <w:shd w:val="clear"/>
            <w:noWrap w:val="0"/>
            <w:vAlign w:val="center"/>
          </w:tcPr>
          <w:p w14:paraId="3B25F216">
            <w:pPr>
              <w:widowControl w:val="0"/>
              <w:spacing w:line="240" w:lineRule="auto"/>
              <w:jc w:val="both"/>
              <w:rPr>
                <w:rFonts w:hint="eastAsia" w:ascii="宋体" w:hAnsi="宋体" w:eastAsia="宋体" w:cs="Times New Roman"/>
                <w:kern w:val="2"/>
                <w:sz w:val="24"/>
                <w:szCs w:val="24"/>
                <w:lang w:val="en-US" w:eastAsia="zh-CN" w:bidi="ar-SA"/>
              </w:rPr>
            </w:pPr>
            <w:r>
              <w:rPr>
                <w:rFonts w:hint="eastAsia"/>
              </w:rPr>
              <w:t>标准资料的收集和使用情况的调研</w:t>
            </w:r>
          </w:p>
        </w:tc>
      </w:tr>
      <w:tr w14:paraId="5BCB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noWrap w:val="0"/>
            <w:vAlign w:val="center"/>
          </w:tcPr>
          <w:p w14:paraId="5421A8B6">
            <w:pPr>
              <w:widowControl w:val="0"/>
              <w:numPr>
                <w:ilvl w:val="0"/>
                <w:numId w:val="1"/>
              </w:numPr>
              <w:spacing w:line="240" w:lineRule="auto"/>
              <w:ind w:left="425" w:leftChars="0" w:hanging="425" w:firstLineChars="0"/>
              <w:jc w:val="center"/>
            </w:pPr>
          </w:p>
        </w:tc>
        <w:tc>
          <w:tcPr>
            <w:tcW w:w="2136" w:type="dxa"/>
            <w:shd w:val="clear" w:color="auto" w:fill="auto"/>
            <w:noWrap w:val="0"/>
            <w:vAlign w:val="center"/>
          </w:tcPr>
          <w:p w14:paraId="4809E5C7">
            <w:pPr>
              <w:widowControl w:val="0"/>
              <w:spacing w:line="240" w:lineRule="auto"/>
              <w:jc w:val="both"/>
              <w:rPr>
                <w:rFonts w:hint="eastAsia" w:ascii="宋体" w:hAnsi="宋体" w:eastAsia="宋体" w:cs="Times New Roman"/>
                <w:kern w:val="2"/>
                <w:sz w:val="24"/>
                <w:szCs w:val="24"/>
                <w:lang w:val="en-US" w:eastAsia="zh-CN" w:bidi="ar-SA"/>
              </w:rPr>
            </w:pPr>
            <w:r>
              <w:rPr>
                <w:rFonts w:hint="eastAsia"/>
                <w:color w:val="auto"/>
                <w:sz w:val="24"/>
                <w:szCs w:val="20"/>
                <w:lang w:val="en-US" w:eastAsia="zh-CN"/>
              </w:rPr>
              <w:t>中广核核电运营有限公司</w:t>
            </w:r>
          </w:p>
        </w:tc>
        <w:tc>
          <w:tcPr>
            <w:tcW w:w="3379" w:type="dxa"/>
            <w:shd w:val="clear" w:color="auto" w:fill="auto"/>
            <w:noWrap w:val="0"/>
            <w:vAlign w:val="center"/>
          </w:tcPr>
          <w:p w14:paraId="4AE98CEC">
            <w:pPr>
              <w:widowControl w:val="0"/>
              <w:spacing w:line="240" w:lineRule="auto"/>
              <w:jc w:val="both"/>
              <w:rPr>
                <w:rFonts w:hint="default" w:ascii="宋体" w:hAnsi="宋体" w:eastAsia="宋体" w:cs="Times New Roman"/>
                <w:kern w:val="2"/>
                <w:sz w:val="24"/>
                <w:szCs w:val="24"/>
                <w:lang w:val="en-US" w:eastAsia="zh-CN" w:bidi="ar-SA"/>
              </w:rPr>
            </w:pPr>
            <w:r>
              <w:rPr>
                <w:rFonts w:hint="eastAsia"/>
                <w:color w:val="auto"/>
                <w:sz w:val="24"/>
                <w:szCs w:val="20"/>
                <w:lang w:val="en-US" w:eastAsia="zh-CN"/>
              </w:rPr>
              <w:t>贾学勇</w:t>
            </w:r>
          </w:p>
        </w:tc>
        <w:tc>
          <w:tcPr>
            <w:tcW w:w="2251" w:type="dxa"/>
            <w:shd w:val="clear" w:color="auto" w:fill="auto"/>
            <w:noWrap w:val="0"/>
            <w:vAlign w:val="center"/>
          </w:tcPr>
          <w:p w14:paraId="45D31951">
            <w:pPr>
              <w:widowControl w:val="0"/>
              <w:spacing w:line="240" w:lineRule="auto"/>
              <w:jc w:val="both"/>
              <w:rPr>
                <w:rFonts w:hint="eastAsia" w:ascii="宋体" w:hAnsi="宋体" w:eastAsia="宋体" w:cs="Times New Roman"/>
                <w:kern w:val="2"/>
                <w:sz w:val="24"/>
                <w:szCs w:val="24"/>
                <w:lang w:val="en-US" w:eastAsia="zh-CN" w:bidi="ar-SA"/>
              </w:rPr>
            </w:pPr>
            <w:r>
              <w:rPr>
                <w:rFonts w:hint="eastAsia"/>
              </w:rPr>
              <w:t>标准资料的收集和使用情况的调研</w:t>
            </w:r>
          </w:p>
        </w:tc>
      </w:tr>
    </w:tbl>
    <w:p w14:paraId="6D2EDDAC"/>
    <w:p w14:paraId="08D45D83">
      <w:pPr>
        <w:outlineLvl w:val="0"/>
        <w:rPr>
          <w:b/>
          <w:sz w:val="28"/>
          <w:szCs w:val="28"/>
        </w:rPr>
      </w:pPr>
      <w:r>
        <w:rPr>
          <w:rFonts w:hint="eastAsia"/>
          <w:b/>
          <w:sz w:val="28"/>
          <w:szCs w:val="28"/>
        </w:rPr>
        <w:t>二、标准编制原则和主要内容</w:t>
      </w:r>
    </w:p>
    <w:p w14:paraId="488A5090">
      <w:pPr>
        <w:rPr>
          <w:b/>
        </w:rPr>
      </w:pPr>
      <w:r>
        <w:rPr>
          <w:rFonts w:hint="eastAsia"/>
          <w:b/>
        </w:rPr>
        <w:t>1、标准编制原则</w:t>
      </w:r>
    </w:p>
    <w:p w14:paraId="29FCA95D">
      <w:pPr>
        <w:ind w:firstLine="480" w:firstLineChars="200"/>
      </w:pPr>
      <w:r>
        <w:rPr>
          <w:rFonts w:hint="eastAsia"/>
        </w:rPr>
        <w:t>本标准的</w:t>
      </w:r>
      <w:r>
        <w:rPr>
          <w:rFonts w:hint="eastAsia"/>
          <w:lang w:val="en-US" w:eastAsia="zh-CN"/>
        </w:rPr>
        <w:t>编制</w:t>
      </w:r>
      <w:r>
        <w:rPr>
          <w:rFonts w:hint="eastAsia"/>
        </w:rPr>
        <w:t>符合核电行业</w:t>
      </w:r>
      <w:r>
        <w:rPr>
          <w:rFonts w:hint="eastAsia"/>
          <w:lang w:val="en-US" w:eastAsia="zh-CN"/>
        </w:rPr>
        <w:t>大修计划管理标准化、专业化</w:t>
      </w:r>
      <w:r>
        <w:rPr>
          <w:rFonts w:hint="eastAsia"/>
        </w:rPr>
        <w:t>的原则，本着先进性、科学性、合理性和可操作性的原则以及标准的目标、统一性、协调性、</w:t>
      </w:r>
      <w:r>
        <w:t>实用性、一致性和</w:t>
      </w:r>
      <w:r>
        <w:rPr>
          <w:rFonts w:hint="eastAsia"/>
        </w:rPr>
        <w:t>规范性原则来进行本标准的制定工作</w:t>
      </w:r>
      <w:r>
        <w:rPr>
          <w:rFonts w:hint="eastAsia"/>
          <w:i/>
        </w:rPr>
        <w:t>。</w:t>
      </w:r>
    </w:p>
    <w:p w14:paraId="2D04C025">
      <w:pPr>
        <w:ind w:firstLine="0" w:firstLineChars="0"/>
        <w:rPr>
          <w:rFonts w:hint="eastAsia" w:ascii="宋体" w:hAnsi="宋体" w:eastAsia="宋体"/>
        </w:rPr>
      </w:pPr>
      <w:r>
        <w:rPr>
          <w:rFonts w:hint="eastAsia" w:ascii="宋体" w:hAnsi="宋体" w:eastAsia="宋体"/>
        </w:rPr>
        <w:t>（1）科学性</w:t>
      </w:r>
    </w:p>
    <w:p w14:paraId="4193D1BF">
      <w:pPr>
        <w:ind w:firstLine="480" w:firstLineChars="200"/>
        <w:rPr>
          <w:rFonts w:hint="eastAsia" w:ascii="宋体" w:hAnsi="宋体" w:eastAsia="宋体"/>
        </w:rPr>
      </w:pPr>
      <w:r>
        <w:rPr>
          <w:rFonts w:hint="eastAsia" w:ascii="宋体" w:hAnsi="宋体" w:eastAsia="宋体"/>
        </w:rPr>
        <w:t>本</w:t>
      </w:r>
      <w:r>
        <w:rPr>
          <w:rFonts w:hint="eastAsia" w:ascii="宋体" w:hAnsi="宋体" w:eastAsia="宋体"/>
          <w:lang w:val="en-US" w:eastAsia="zh-CN"/>
        </w:rPr>
        <w:t>标准</w:t>
      </w:r>
      <w:r>
        <w:rPr>
          <w:rFonts w:hint="eastAsia" w:ascii="宋体" w:hAnsi="宋体" w:eastAsia="宋体"/>
        </w:rPr>
        <w:t>充分对标国内同行先进管理经验，对</w:t>
      </w:r>
      <w:r>
        <w:rPr>
          <w:rFonts w:hint="eastAsia"/>
          <w:lang w:eastAsia="zh-CN"/>
        </w:rPr>
        <w:t>核电厂</w:t>
      </w:r>
      <w:r>
        <w:rPr>
          <w:rFonts w:hint="eastAsia" w:ascii="宋体" w:hAnsi="宋体" w:eastAsia="宋体"/>
          <w:lang w:val="en-US" w:eastAsia="zh-CN"/>
        </w:rPr>
        <w:t>大修准备</w:t>
      </w:r>
      <w:r>
        <w:rPr>
          <w:rFonts w:hint="eastAsia" w:ascii="宋体" w:hAnsi="宋体" w:eastAsia="宋体"/>
        </w:rPr>
        <w:t>管理</w:t>
      </w:r>
      <w:r>
        <w:rPr>
          <w:rFonts w:hint="eastAsia"/>
          <w:lang w:eastAsia="zh-CN"/>
        </w:rPr>
        <w:t>要求及流程</w:t>
      </w:r>
      <w:r>
        <w:rPr>
          <w:rFonts w:hint="eastAsia" w:ascii="宋体" w:hAnsi="宋体" w:eastAsia="宋体"/>
        </w:rPr>
        <w:t>进行调整和完善，借鉴了国际标准WANO GL 2001-6</w:t>
      </w:r>
      <w:r>
        <w:rPr>
          <w:rFonts w:hint="eastAsia" w:ascii="宋体" w:hAnsi="宋体" w:eastAsia="宋体"/>
          <w:lang w:eastAsia="zh-CN"/>
        </w:rPr>
        <w:t>《核电厂大修管理导则》、WANO GL2008-01《电厂停堆大修指南》</w:t>
      </w:r>
      <w:r>
        <w:rPr>
          <w:rFonts w:hint="eastAsia" w:ascii="宋体" w:hAnsi="宋体" w:eastAsia="宋体"/>
        </w:rPr>
        <w:t>，INPO 10-009</w:t>
      </w:r>
      <w:r>
        <w:rPr>
          <w:rFonts w:hint="eastAsia" w:ascii="宋体" w:hAnsi="宋体" w:eastAsia="宋体"/>
          <w:lang w:eastAsia="zh-CN"/>
        </w:rPr>
        <w:t>《成功大修准备》，</w:t>
      </w:r>
      <w:r>
        <w:rPr>
          <w:rFonts w:hint="eastAsia" w:ascii="宋体" w:hAnsi="宋体" w:eastAsia="宋体"/>
        </w:rPr>
        <w:t>同时结合我国HAD103/08</w:t>
      </w:r>
      <w:r>
        <w:rPr>
          <w:rFonts w:hint="eastAsia" w:ascii="宋体" w:hAnsi="宋体" w:eastAsia="宋体"/>
          <w:lang w:eastAsia="zh-CN"/>
        </w:rPr>
        <w:t>《核电厂维修》</w:t>
      </w:r>
      <w:r>
        <w:rPr>
          <w:rFonts w:hint="eastAsia" w:ascii="宋体" w:hAnsi="宋体" w:eastAsia="宋体"/>
          <w:lang w:val="en-US" w:eastAsia="zh-CN"/>
        </w:rPr>
        <w:t>的要求</w:t>
      </w:r>
      <w:r>
        <w:rPr>
          <w:rFonts w:hint="eastAsia" w:ascii="宋体" w:hAnsi="宋体" w:eastAsia="宋体"/>
        </w:rPr>
        <w:t>对本团体标准进行编写。</w:t>
      </w:r>
      <w:r>
        <w:rPr>
          <w:rFonts w:hint="eastAsia" w:ascii="宋体" w:hAnsi="宋体" w:eastAsia="宋体"/>
          <w:lang w:val="en-US" w:eastAsia="zh-CN"/>
        </w:rPr>
        <w:t>通过参与山东海阳核电</w:t>
      </w:r>
      <w:r>
        <w:rPr>
          <w:rFonts w:hint="eastAsia" w:ascii="宋体" w:hAnsi="宋体" w:eastAsia="宋体"/>
          <w:lang w:eastAsia="zh-CN"/>
        </w:rPr>
        <w:t>1、2号机组</w:t>
      </w:r>
      <w:r>
        <w:rPr>
          <w:rFonts w:hint="eastAsia" w:ascii="宋体" w:hAnsi="宋体" w:eastAsia="宋体"/>
          <w:lang w:val="en-US" w:eastAsia="zh-CN"/>
        </w:rPr>
        <w:t>四轮八次大修计划管控</w:t>
      </w:r>
      <w:r>
        <w:rPr>
          <w:rFonts w:hint="eastAsia" w:ascii="宋体" w:hAnsi="宋体" w:eastAsia="宋体"/>
          <w:lang w:eastAsia="zh-CN"/>
        </w:rPr>
        <w:t>，</w:t>
      </w:r>
      <w:r>
        <w:rPr>
          <w:rFonts w:hint="eastAsia" w:ascii="宋体" w:hAnsi="宋体" w:eastAsia="宋体"/>
        </w:rPr>
        <w:t>有效验证了大修</w:t>
      </w:r>
      <w:r>
        <w:rPr>
          <w:rFonts w:hint="eastAsia" w:ascii="宋体" w:hAnsi="宋体" w:eastAsia="宋体"/>
          <w:lang w:val="en-US" w:eastAsia="zh-CN"/>
        </w:rPr>
        <w:t>计划管理</w:t>
      </w:r>
      <w:r>
        <w:rPr>
          <w:rFonts w:hint="eastAsia" w:ascii="宋体" w:hAnsi="宋体" w:eastAsia="宋体"/>
        </w:rPr>
        <w:t>的有效性</w:t>
      </w:r>
      <w:r>
        <w:rPr>
          <w:rFonts w:hint="eastAsia" w:ascii="宋体" w:hAnsi="宋体" w:eastAsia="宋体"/>
          <w:lang w:eastAsia="zh-CN"/>
        </w:rPr>
        <w:t>。</w:t>
      </w:r>
    </w:p>
    <w:p w14:paraId="5E90187A">
      <w:pPr>
        <w:ind w:firstLine="0" w:firstLineChars="0"/>
        <w:rPr>
          <w:rFonts w:hint="eastAsia" w:ascii="宋体" w:hAnsi="宋体" w:eastAsia="宋体"/>
        </w:rPr>
      </w:pPr>
      <w:r>
        <w:rPr>
          <w:rFonts w:hint="eastAsia" w:ascii="宋体" w:hAnsi="宋体" w:eastAsia="宋体"/>
        </w:rPr>
        <w:t>（2）实用性</w:t>
      </w:r>
    </w:p>
    <w:p w14:paraId="44B6E0A0">
      <w:pPr>
        <w:pStyle w:val="3"/>
        <w:rPr>
          <w:rFonts w:hint="eastAsia"/>
        </w:rPr>
      </w:pPr>
      <w:r>
        <w:rPr>
          <w:rFonts w:hint="eastAsia" w:ascii="宋体" w:hAnsi="宋体" w:eastAsia="宋体" w:cs="Times New Roman"/>
          <w:b w:val="0"/>
          <w:bCs w:val="0"/>
          <w:caps w:val="0"/>
          <w:kern w:val="2"/>
          <w:sz w:val="24"/>
          <w:szCs w:val="24"/>
          <w:lang w:val="en-US" w:eastAsia="zh-CN" w:bidi="ar-SA"/>
        </w:rPr>
        <w:t>本标准规定了核电厂换料大修计划管理组织机构构成、参考/执行计划制定及维护、大修计划风险分析、实施管控、大修计划总结及经验反馈等多个领域等环节建立规范。以统一大修计划管理的组织管理、工作方法、总结改进，使其向科学化、合理化、专业化、标准化方向迈进，减少工作组织的的主观性、随意性，增加科学性、客观性，从而达到提高核电行业大修计划管理水平的目的。</w:t>
      </w:r>
    </w:p>
    <w:p w14:paraId="50BCE89C">
      <w:pPr>
        <w:rPr>
          <w:b/>
        </w:rPr>
      </w:pPr>
      <w:r>
        <w:rPr>
          <w:rFonts w:hint="eastAsia"/>
          <w:b/>
        </w:rPr>
        <w:t>2、标准主要内容的依据</w:t>
      </w:r>
    </w:p>
    <w:p w14:paraId="08ADDF6B">
      <w:pPr>
        <w:ind w:firstLine="480" w:firstLineChars="200"/>
        <w:rPr>
          <w:rFonts w:hint="eastAsia" w:ascii="宋体" w:hAnsi="宋体" w:eastAsia="宋体"/>
          <w:color w:val="auto"/>
          <w:sz w:val="24"/>
          <w:szCs w:val="20"/>
          <w:lang w:val="en-US" w:eastAsia="zh-CN"/>
        </w:rPr>
      </w:pPr>
      <w:r>
        <w:rPr>
          <w:rFonts w:hint="eastAsia" w:ascii="宋体" w:hAnsi="宋体" w:eastAsia="宋体"/>
          <w:color w:val="auto"/>
          <w:sz w:val="24"/>
          <w:szCs w:val="20"/>
          <w:lang w:val="en-US" w:eastAsia="zh-CN"/>
        </w:rPr>
        <w:t>本标准遵从GB/T 1.1-2020的要求，以核电运营单位的角度编写，提出了核电厂换料大修计划管理的组织管理要求，大修计划相关的各项任务、工作方法，明确了大修准备工作协调控制的原则，各章节技术和内容包括：适用范围、规范性引用文件、术语和定义、核电厂大修计划管理目的及原则、大修计划管理组织机构、大修参考计划制定与维护、大修执行计划分类和编制流程、大修计划风险分析、大修计划实施控制、</w:t>
      </w:r>
      <w:r>
        <w:rPr>
          <w:rFonts w:hint="eastAsia"/>
          <w:color w:val="auto"/>
          <w:sz w:val="24"/>
          <w:szCs w:val="20"/>
          <w:lang w:val="en-US" w:eastAsia="zh-CN"/>
        </w:rPr>
        <w:t>大修会议管理、</w:t>
      </w:r>
      <w:r>
        <w:rPr>
          <w:rFonts w:hint="eastAsia" w:ascii="宋体" w:hAnsi="宋体" w:eastAsia="宋体"/>
          <w:color w:val="auto"/>
          <w:sz w:val="24"/>
          <w:szCs w:val="20"/>
          <w:lang w:val="en-US" w:eastAsia="zh-CN"/>
        </w:rPr>
        <w:t>大修计划总结及经验反馈、附录。</w:t>
      </w:r>
    </w:p>
    <w:p w14:paraId="0F312188">
      <w:pPr>
        <w:rPr>
          <w:b/>
        </w:rPr>
      </w:pPr>
      <w:r>
        <w:rPr>
          <w:rFonts w:hint="eastAsia"/>
          <w:b/>
        </w:rPr>
        <w:t>3、解决的主要问题</w:t>
      </w:r>
    </w:p>
    <w:p w14:paraId="6D98D80E">
      <w:pPr>
        <w:ind w:firstLine="480" w:firstLineChars="200"/>
        <w:rPr>
          <w:rFonts w:hint="eastAsia" w:ascii="宋体" w:hAnsi="宋体" w:eastAsia="宋体"/>
          <w:color w:val="auto"/>
          <w:sz w:val="24"/>
          <w:szCs w:val="20"/>
          <w:lang w:val="en-US" w:eastAsia="zh-CN"/>
        </w:rPr>
      </w:pPr>
      <w:r>
        <w:rPr>
          <w:rFonts w:hint="eastAsia" w:ascii="宋体" w:hAnsi="宋体" w:eastAsia="宋体"/>
          <w:color w:val="auto"/>
          <w:sz w:val="24"/>
          <w:szCs w:val="20"/>
          <w:lang w:val="en-US" w:eastAsia="zh-CN"/>
        </w:rPr>
        <w:t>核电厂换料大修是一个规模庞大的、复杂的系统工程，具有时间紧、项目多、工作量大、机组状态变化频繁、安全质量控制严格、技术要求高、接口协调复杂以及投入资源大等特点，其结果直接影响到电站机组运行的安全性和经济性，而安全、优质、高效的换料大修是各核电站营运者竭力追求的目标。</w:t>
      </w:r>
    </w:p>
    <w:p w14:paraId="7B505002">
      <w:pPr>
        <w:ind w:firstLine="480" w:firstLineChars="200"/>
        <w:rPr>
          <w:rFonts w:hint="eastAsia" w:ascii="宋体" w:hAnsi="宋体" w:eastAsia="宋体"/>
          <w:color w:val="auto"/>
          <w:sz w:val="24"/>
          <w:szCs w:val="20"/>
          <w:lang w:val="en-US" w:eastAsia="zh-CN"/>
        </w:rPr>
      </w:pPr>
      <w:r>
        <w:rPr>
          <w:rFonts w:hint="eastAsia" w:ascii="宋体" w:hAnsi="宋体" w:eastAsia="宋体"/>
          <w:color w:val="auto"/>
          <w:sz w:val="24"/>
          <w:szCs w:val="20"/>
          <w:lang w:val="en-US" w:eastAsia="zh-CN"/>
        </w:rPr>
        <w:t>为实现该目标，需要建立计划管理团队和计划管理体系，综合安全、质量、进度、成本相关因素，制定准确、详细且可执行的计划；</w:t>
      </w:r>
    </w:p>
    <w:p w14:paraId="1EFF981A">
      <w:pPr>
        <w:ind w:firstLine="480" w:firstLineChars="200"/>
        <w:rPr>
          <w:rFonts w:hint="eastAsia" w:ascii="宋体" w:hAnsi="宋体" w:eastAsia="宋体"/>
          <w:color w:val="auto"/>
          <w:sz w:val="24"/>
          <w:szCs w:val="20"/>
          <w:lang w:val="en-US" w:eastAsia="zh-CN"/>
        </w:rPr>
      </w:pPr>
      <w:r>
        <w:rPr>
          <w:rFonts w:hint="eastAsia" w:ascii="宋体" w:hAnsi="宋体" w:eastAsia="宋体"/>
          <w:color w:val="auto"/>
          <w:sz w:val="24"/>
          <w:szCs w:val="20"/>
          <w:lang w:val="en-US" w:eastAsia="zh-CN"/>
        </w:rPr>
        <w:t>在此基础上，有效组织实施计划并跟踪实际情况进行调整，确保计划的有效执行，实现大修的各项管理指标。</w:t>
      </w:r>
    </w:p>
    <w:p w14:paraId="74D0F5CC">
      <w:pPr>
        <w:outlineLvl w:val="0"/>
        <w:rPr>
          <w:b/>
          <w:sz w:val="28"/>
          <w:szCs w:val="28"/>
        </w:rPr>
      </w:pPr>
      <w:r>
        <w:rPr>
          <w:rFonts w:hint="eastAsia"/>
          <w:b/>
          <w:sz w:val="28"/>
          <w:szCs w:val="28"/>
        </w:rPr>
        <w:t>三、主要试验（或验证）情况</w:t>
      </w:r>
    </w:p>
    <w:p w14:paraId="346FF009">
      <w:pPr>
        <w:ind w:firstLine="480" w:firstLineChars="200"/>
        <w:rPr>
          <w:rFonts w:hint="eastAsia"/>
        </w:rPr>
      </w:pPr>
      <w:r>
        <w:rPr>
          <w:rFonts w:hint="eastAsia" w:ascii="宋体" w:hAnsi="宋体" w:eastAsia="宋体"/>
          <w:color w:val="auto"/>
          <w:sz w:val="24"/>
          <w:szCs w:val="20"/>
          <w:lang w:val="en-US" w:eastAsia="zh-CN"/>
        </w:rPr>
        <w:t>依照制定《核电厂大修计划管理指南》标准，通过严格落实大修计划管理各项工作内容，建立大修计划管理标准化业务流程，积极对标国内和国际一流管理水平，先后高质量完成四轮八次大修，确保大修安全、质量、进度、成本可控在控，数次刷新同类型核电机组换料大修最短工期记录，并在行业内第一次将核电机组首次大修工期从50天以上降低至32.82天。通过大修实践形成了一系列标准化管控模式，2022年WANO同行评估，</w:t>
      </w:r>
      <w:r>
        <w:rPr>
          <w:rFonts w:hint="eastAsia"/>
          <w:color w:val="auto"/>
          <w:sz w:val="24"/>
          <w:szCs w:val="20"/>
          <w:lang w:val="en-US" w:eastAsia="zh-CN"/>
        </w:rPr>
        <w:t>山东核电</w:t>
      </w:r>
      <w:r>
        <w:rPr>
          <w:rFonts w:hint="eastAsia" w:ascii="宋体" w:hAnsi="宋体" w:eastAsia="宋体"/>
          <w:color w:val="auto"/>
          <w:sz w:val="24"/>
          <w:szCs w:val="20"/>
          <w:lang w:val="en-US" w:eastAsia="zh-CN"/>
        </w:rPr>
        <w:t>大修领域获得“模范”评价。</w:t>
      </w:r>
    </w:p>
    <w:p w14:paraId="0BB87762">
      <w:pPr>
        <w:outlineLvl w:val="0"/>
        <w:rPr>
          <w:b/>
          <w:sz w:val="28"/>
          <w:szCs w:val="28"/>
        </w:rPr>
      </w:pPr>
      <w:r>
        <w:rPr>
          <w:rFonts w:hint="eastAsia"/>
          <w:b/>
          <w:sz w:val="28"/>
          <w:szCs w:val="28"/>
        </w:rPr>
        <w:t>四、标准中涉及专利的情况</w:t>
      </w:r>
    </w:p>
    <w:p w14:paraId="2C6BABDA">
      <w:pPr>
        <w:ind w:firstLine="480" w:firstLineChars="200"/>
        <w:rPr>
          <w:rFonts w:hint="eastAsia"/>
        </w:rPr>
      </w:pPr>
      <w:r>
        <w:rPr>
          <w:rFonts w:hint="eastAsia" w:ascii="宋体" w:hAnsi="宋体" w:eastAsia="宋体"/>
          <w:color w:val="auto"/>
          <w:sz w:val="24"/>
          <w:szCs w:val="20"/>
          <w:lang w:val="en-US" w:eastAsia="zh-CN"/>
        </w:rPr>
        <w:t>本标准不涉及专利问题。</w:t>
      </w:r>
    </w:p>
    <w:p w14:paraId="5D8133B5">
      <w:pPr>
        <w:outlineLvl w:val="0"/>
        <w:rPr>
          <w:b/>
          <w:sz w:val="28"/>
          <w:szCs w:val="28"/>
        </w:rPr>
      </w:pPr>
      <w:r>
        <w:rPr>
          <w:rFonts w:hint="eastAsia"/>
          <w:b/>
          <w:sz w:val="28"/>
          <w:szCs w:val="28"/>
        </w:rPr>
        <w:t>五、预期达到的社会效益、对产业发展的作用等情况</w:t>
      </w:r>
    </w:p>
    <w:p w14:paraId="6D29897D">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通过规范换料大修</w:t>
      </w:r>
      <w:r>
        <w:rPr>
          <w:rFonts w:hint="eastAsia" w:ascii="宋体" w:hAnsi="宋体" w:eastAsia="宋体"/>
          <w:lang w:val="en-US" w:eastAsia="zh-CN"/>
        </w:rPr>
        <w:t>计划管理领域</w:t>
      </w:r>
      <w:r>
        <w:rPr>
          <w:rFonts w:hint="eastAsia" w:ascii="宋体" w:hAnsi="宋体" w:eastAsia="宋体"/>
        </w:rPr>
        <w:t>的各项任务、工作方法、准备工作质量和进度的要求，引导各在运核电厂加强同行对标及自我学习，不断提高大修</w:t>
      </w:r>
      <w:r>
        <w:rPr>
          <w:rFonts w:hint="eastAsia" w:ascii="宋体" w:hAnsi="宋体" w:eastAsia="宋体"/>
          <w:lang w:val="en-US" w:eastAsia="zh-CN"/>
        </w:rPr>
        <w:t>计划</w:t>
      </w:r>
      <w:r>
        <w:rPr>
          <w:rFonts w:hint="eastAsia" w:ascii="宋体" w:hAnsi="宋体" w:eastAsia="宋体"/>
        </w:rPr>
        <w:t>管理水平。</w:t>
      </w:r>
    </w:p>
    <w:p w14:paraId="771C1C96">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总结各方大修</w:t>
      </w:r>
      <w:r>
        <w:rPr>
          <w:rFonts w:hint="eastAsia" w:ascii="宋体" w:hAnsi="宋体" w:eastAsia="宋体"/>
          <w:lang w:val="en-US" w:eastAsia="zh-CN"/>
        </w:rPr>
        <w:t>计划相关</w:t>
      </w:r>
      <w:r>
        <w:rPr>
          <w:rFonts w:hint="eastAsia" w:ascii="宋体" w:hAnsi="宋体" w:eastAsia="宋体"/>
        </w:rPr>
        <w:t>工作实践经验，树立典范并分享成功经验，为新建核电厂换料大修</w:t>
      </w:r>
      <w:r>
        <w:rPr>
          <w:rFonts w:hint="eastAsia" w:ascii="宋体" w:hAnsi="宋体" w:eastAsia="宋体"/>
          <w:lang w:val="en-US" w:eastAsia="zh-CN"/>
        </w:rPr>
        <w:t>计划管理的相关</w:t>
      </w:r>
      <w:r>
        <w:rPr>
          <w:rFonts w:hint="eastAsia" w:ascii="宋体" w:hAnsi="宋体" w:eastAsia="宋体"/>
        </w:rPr>
        <w:t>工作提供依据和指导。</w:t>
      </w:r>
    </w:p>
    <w:p w14:paraId="7BC86E6E">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rPr>
        <w:t>本标准</w:t>
      </w:r>
      <w:r>
        <w:rPr>
          <w:rFonts w:hint="eastAsia" w:ascii="宋体" w:hAnsi="宋体" w:eastAsia="宋体"/>
          <w:lang w:val="en-US" w:eastAsia="zh-CN"/>
        </w:rPr>
        <w:t>全面覆盖大修计划领域各项工作内容，</w:t>
      </w:r>
      <w:r>
        <w:rPr>
          <w:rFonts w:hint="eastAsia" w:ascii="宋体" w:hAnsi="宋体" w:eastAsia="宋体"/>
        </w:rPr>
        <w:t>有助于提升核电厂大修</w:t>
      </w:r>
      <w:r>
        <w:rPr>
          <w:rFonts w:hint="eastAsia" w:ascii="宋体" w:hAnsi="宋体" w:eastAsia="宋体"/>
          <w:lang w:val="en-US" w:eastAsia="zh-CN"/>
        </w:rPr>
        <w:t>计划管理</w:t>
      </w:r>
      <w:r>
        <w:rPr>
          <w:rFonts w:hint="eastAsia" w:ascii="宋体" w:hAnsi="宋体" w:eastAsia="宋体"/>
        </w:rPr>
        <w:t>的质量</w:t>
      </w:r>
      <w:r>
        <w:rPr>
          <w:rFonts w:hint="eastAsia" w:ascii="宋体" w:hAnsi="宋体" w:eastAsia="宋体"/>
          <w:lang w:eastAsia="zh-CN"/>
        </w:rPr>
        <w:t>。</w:t>
      </w:r>
      <w:r>
        <w:rPr>
          <w:rFonts w:hint="eastAsia" w:ascii="宋体" w:hAnsi="宋体" w:eastAsia="宋体"/>
        </w:rPr>
        <w:t>通过成功完成大修以确保核电厂安全、稳定运行，提高经济和社会效益，增强核电竞争优势，促进核电安全、快速、稳定发展，助力实现“中国3060目标”</w:t>
      </w:r>
      <w:r>
        <w:rPr>
          <w:rFonts w:hint="eastAsia" w:ascii="宋体" w:hAnsi="宋体" w:eastAsia="宋体"/>
          <w:lang w:eastAsia="zh-CN"/>
        </w:rPr>
        <w:t>。</w:t>
      </w:r>
    </w:p>
    <w:p w14:paraId="28BC02BD">
      <w:pPr>
        <w:outlineLvl w:val="0"/>
        <w:rPr>
          <w:b/>
          <w:sz w:val="28"/>
          <w:szCs w:val="28"/>
        </w:rPr>
      </w:pPr>
      <w:r>
        <w:rPr>
          <w:rFonts w:hint="eastAsia"/>
          <w:b/>
          <w:sz w:val="28"/>
          <w:szCs w:val="28"/>
        </w:rPr>
        <w:t>六、与国际、国外对比情况</w:t>
      </w:r>
    </w:p>
    <w:p w14:paraId="17F4F492">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国外核电企业从上世纪开始研究大修项目管理的方法，并采取了相应的改进措施，本世纪通过发布《WANO GL 2001-6核电厂大修管理导则》、《WANO GL2008-01核电厂停堆大修指南》、《INPO 10-009成功大修准备》等标准，指导开展大修准备工作</w:t>
      </w:r>
      <w:r>
        <w:rPr>
          <w:rFonts w:hint="eastAsia" w:ascii="宋体" w:hAnsi="宋体" w:eastAsia="宋体"/>
          <w:lang w:eastAsia="zh-CN"/>
        </w:rPr>
        <w:t>。</w:t>
      </w:r>
    </w:p>
    <w:p w14:paraId="241FB62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eastAsia="zh-CN"/>
        </w:rPr>
        <w:t>国内对大修</w:t>
      </w:r>
      <w:r>
        <w:rPr>
          <w:rFonts w:hint="eastAsia" w:ascii="宋体" w:hAnsi="宋体" w:eastAsia="宋体"/>
          <w:lang w:val="en-US" w:eastAsia="zh-CN"/>
        </w:rPr>
        <w:t>计划领域</w:t>
      </w:r>
      <w:r>
        <w:rPr>
          <w:rFonts w:hint="eastAsia" w:ascii="宋体" w:hAnsi="宋体" w:eastAsia="宋体"/>
          <w:lang w:eastAsia="zh-CN"/>
        </w:rPr>
        <w:t>管理的研究起步晚，各个集团在大修</w:t>
      </w:r>
      <w:r>
        <w:rPr>
          <w:rFonts w:hint="eastAsia" w:ascii="宋体" w:hAnsi="宋体" w:eastAsia="宋体"/>
          <w:lang w:val="en-US" w:eastAsia="zh-CN"/>
        </w:rPr>
        <w:t>计划</w:t>
      </w:r>
      <w:r>
        <w:rPr>
          <w:rFonts w:hint="eastAsia" w:ascii="宋体" w:hAnsi="宋体" w:eastAsia="宋体"/>
          <w:lang w:eastAsia="zh-CN"/>
        </w:rPr>
        <w:t>管理方面各有所长，尚未形成行业统一的标准。</w:t>
      </w:r>
    </w:p>
    <w:p w14:paraId="363DF73E">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ascii="宋体" w:hAnsi="宋体" w:eastAsia="宋体"/>
          <w:lang w:eastAsia="zh-CN"/>
        </w:rPr>
        <w:t>本标准的参编单位具有丰富的大修</w:t>
      </w:r>
      <w:r>
        <w:rPr>
          <w:rFonts w:hint="eastAsia" w:ascii="宋体" w:hAnsi="宋体" w:eastAsia="宋体"/>
          <w:lang w:val="en-US" w:eastAsia="zh-CN"/>
        </w:rPr>
        <w:t>计划</w:t>
      </w:r>
      <w:r>
        <w:rPr>
          <w:rFonts w:hint="eastAsia" w:ascii="宋体" w:hAnsi="宋体" w:eastAsia="宋体"/>
          <w:lang w:eastAsia="zh-CN"/>
        </w:rPr>
        <w:t>管理经验，后续将邀请行业内更多单位参与标准的讨论及审查，进一步提升标准的统一性、协调性、适用性。</w:t>
      </w:r>
    </w:p>
    <w:p w14:paraId="7345E88A">
      <w:pPr>
        <w:outlineLvl w:val="0"/>
        <w:rPr>
          <w:b/>
          <w:sz w:val="28"/>
          <w:szCs w:val="28"/>
        </w:rPr>
      </w:pPr>
      <w:r>
        <w:rPr>
          <w:rFonts w:hint="eastAsia"/>
          <w:b/>
          <w:sz w:val="28"/>
          <w:szCs w:val="28"/>
        </w:rPr>
        <w:t>七、在标准体系中的位置，与现行相关法律、法规、规章及标准，特别是强制性标准的协调性</w:t>
      </w:r>
    </w:p>
    <w:p w14:paraId="1CAF805D">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HAF/HAD等法规及导则是从质保体系方面进行规划，属于各单位应遵守的底线。本标准以HAF/HAD 法规导则为基础和依据，从改善电厂绩效、提升业绩的角度考虑，属于持续改进的范围，相关内容符合HAF/HAD的要求，避免矛盾。</w:t>
      </w:r>
    </w:p>
    <w:p w14:paraId="5300A66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经查询，国内暂无核电厂换料大修准备工作方面的相关标准（指南）</w:t>
      </w:r>
      <w:r>
        <w:rPr>
          <w:rFonts w:hint="eastAsia" w:ascii="宋体" w:hAnsi="宋体" w:eastAsia="宋体"/>
          <w:lang w:eastAsia="zh-CN"/>
        </w:rPr>
        <w:t>。</w:t>
      </w:r>
    </w:p>
    <w:p w14:paraId="0E2A2C3C">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ascii="宋体" w:hAnsi="宋体" w:eastAsia="宋体"/>
          <w:lang w:val="en-US" w:eastAsia="zh-CN"/>
        </w:rPr>
        <w:t>本</w:t>
      </w:r>
      <w:r>
        <w:rPr>
          <w:rFonts w:hint="eastAsia" w:ascii="宋体" w:hAnsi="宋体" w:eastAsia="宋体"/>
        </w:rPr>
        <w:t>标准的制定符合现行法律、法规的要求，本标准与其他强制性国家标准无矛盾与不协调之处。标准的格式和表达方式等方面完全执行了现行的国家标准和有关法规，符合GB1.1-2020标准化工作导则的有关要求。</w:t>
      </w:r>
    </w:p>
    <w:p w14:paraId="2809C50C">
      <w:pPr>
        <w:outlineLvl w:val="0"/>
        <w:rPr>
          <w:b/>
          <w:sz w:val="28"/>
          <w:szCs w:val="28"/>
        </w:rPr>
      </w:pPr>
      <w:r>
        <w:rPr>
          <w:rFonts w:hint="eastAsia"/>
          <w:b/>
          <w:sz w:val="28"/>
          <w:szCs w:val="28"/>
        </w:rPr>
        <w:t>八、重大分歧意见的处理经过和依据</w:t>
      </w:r>
    </w:p>
    <w:p w14:paraId="4C888248">
      <w:pPr>
        <w:ind w:firstLine="420" w:firstLineChars="0"/>
        <w:rPr>
          <w:rFonts w:hint="default" w:eastAsia="宋体"/>
          <w:lang w:val="en-US" w:eastAsia="zh-CN"/>
        </w:rPr>
      </w:pPr>
      <w:r>
        <w:rPr>
          <w:rFonts w:hint="eastAsia"/>
          <w:lang w:val="en-US" w:eastAsia="zh-CN"/>
        </w:rPr>
        <w:t>无。</w:t>
      </w:r>
    </w:p>
    <w:p w14:paraId="39421793">
      <w:pPr>
        <w:outlineLvl w:val="0"/>
        <w:rPr>
          <w:b/>
          <w:sz w:val="28"/>
          <w:szCs w:val="28"/>
        </w:rPr>
      </w:pPr>
      <w:r>
        <w:rPr>
          <w:rFonts w:hint="eastAsia"/>
          <w:b/>
          <w:sz w:val="28"/>
          <w:szCs w:val="28"/>
        </w:rPr>
        <w:t>九、标准性质的建议说明</w:t>
      </w:r>
    </w:p>
    <w:p w14:paraId="48080642">
      <w:pPr>
        <w:ind w:firstLine="480" w:firstLineChars="200"/>
        <w:rPr>
          <w:rFonts w:hint="eastAsia"/>
          <w:i/>
        </w:rPr>
      </w:pPr>
      <w:r>
        <w:rPr>
          <w:rFonts w:hint="eastAsia"/>
        </w:rPr>
        <w:t>建议本标准的性质为团体标准。</w:t>
      </w:r>
    </w:p>
    <w:p w14:paraId="5BFC5D95">
      <w:pPr>
        <w:outlineLvl w:val="0"/>
        <w:rPr>
          <w:b/>
          <w:sz w:val="28"/>
          <w:szCs w:val="28"/>
        </w:rPr>
      </w:pPr>
      <w:r>
        <w:rPr>
          <w:rFonts w:hint="eastAsia"/>
          <w:b/>
          <w:sz w:val="28"/>
          <w:szCs w:val="28"/>
        </w:rPr>
        <w:t>十、贯彻标准的要求和措施建议</w:t>
      </w:r>
    </w:p>
    <w:p w14:paraId="199C7FF0">
      <w:pPr>
        <w:ind w:firstLine="480" w:firstLineChars="200"/>
        <w:rPr>
          <w:rFonts w:hint="eastAsia" w:eastAsia="宋体"/>
          <w:lang w:eastAsia="zh-CN"/>
        </w:rPr>
      </w:pPr>
      <w:r>
        <w:t>1．首先应在实施前保证标准文本的</w:t>
      </w:r>
      <w:r>
        <w:rPr>
          <w:rFonts w:hint="eastAsia"/>
          <w:lang w:val="en-US" w:eastAsia="zh-CN"/>
        </w:rPr>
        <w:t>及时分发</w:t>
      </w:r>
      <w:r>
        <w:t>，</w:t>
      </w:r>
      <w:r>
        <w:rPr>
          <w:rFonts w:hint="eastAsia"/>
        </w:rPr>
        <w:t>每个核电厂</w:t>
      </w:r>
      <w:r>
        <w:t>等都能及时获取本标准文本</w:t>
      </w:r>
      <w:r>
        <w:rPr>
          <w:rFonts w:hint="eastAsia"/>
          <w:lang w:eastAsia="zh-CN"/>
        </w:rPr>
        <w:t>；</w:t>
      </w:r>
    </w:p>
    <w:p w14:paraId="12BF57AD">
      <w:pPr>
        <w:ind w:firstLine="480" w:firstLineChars="200"/>
        <w:rPr>
          <w:rFonts w:hint="eastAsia" w:eastAsia="宋体"/>
          <w:lang w:eastAsia="zh-CN"/>
        </w:rPr>
      </w:pPr>
      <w:r>
        <w:t>2．本项目制定的《</w:t>
      </w:r>
      <w:r>
        <w:rPr>
          <w:rFonts w:hint="eastAsia" w:ascii="宋体" w:hAnsi="宋体" w:eastAsia="宋体"/>
        </w:rPr>
        <w:t>核电厂</w:t>
      </w:r>
      <w:r>
        <w:rPr>
          <w:rFonts w:hint="eastAsia" w:ascii="宋体" w:hAnsi="宋体" w:eastAsia="宋体"/>
          <w:lang w:val="en-US" w:eastAsia="zh-CN"/>
        </w:rPr>
        <w:t>大修计划管理指南</w:t>
      </w:r>
      <w:r>
        <w:t>》，与</w:t>
      </w:r>
      <w:r>
        <w:rPr>
          <w:rFonts w:hint="eastAsia"/>
        </w:rPr>
        <w:t>核电厂</w:t>
      </w:r>
      <w:r>
        <w:rPr>
          <w:rFonts w:hint="eastAsia"/>
          <w:lang w:val="en-US" w:eastAsia="zh-CN"/>
        </w:rPr>
        <w:t>大修计划管理工作</w:t>
      </w:r>
      <w:r>
        <w:t>有关。对于标准使用过程中容易出现的疑问，起草单位有义务进行必要的解释</w:t>
      </w:r>
      <w:r>
        <w:rPr>
          <w:rFonts w:hint="eastAsia"/>
          <w:lang w:eastAsia="zh-CN"/>
        </w:rPr>
        <w:t>；</w:t>
      </w:r>
    </w:p>
    <w:p w14:paraId="02397FC6">
      <w:pPr>
        <w:ind w:firstLine="480" w:firstLineChars="200"/>
        <w:rPr>
          <w:rFonts w:hint="eastAsia"/>
          <w:i/>
        </w:rPr>
      </w:pPr>
      <w:r>
        <w:t>3.可以针对标准使用的不同对象，有侧重点地进行标准的培训和宣贯，以保证标准的贯彻实施。</w:t>
      </w:r>
    </w:p>
    <w:p w14:paraId="6786C548">
      <w:pPr>
        <w:outlineLvl w:val="0"/>
        <w:rPr>
          <w:b/>
          <w:sz w:val="28"/>
          <w:szCs w:val="28"/>
        </w:rPr>
      </w:pPr>
      <w:r>
        <w:rPr>
          <w:rFonts w:hint="eastAsia"/>
          <w:b/>
          <w:sz w:val="28"/>
          <w:szCs w:val="28"/>
        </w:rPr>
        <w:t>十一、废止现行相关标准的建议</w:t>
      </w:r>
    </w:p>
    <w:p w14:paraId="40C20567">
      <w:pPr>
        <w:ind w:firstLine="420" w:firstLineChars="0"/>
        <w:rPr>
          <w:rFonts w:hint="eastAsia" w:ascii="宋体" w:hAnsi="宋体" w:eastAsia="宋体"/>
          <w:lang w:val="en-US" w:eastAsia="zh-CN"/>
        </w:rPr>
      </w:pPr>
      <w:r>
        <w:rPr>
          <w:rFonts w:hint="eastAsia" w:ascii="宋体" w:hAnsi="宋体" w:eastAsia="宋体"/>
          <w:lang w:val="en-US" w:eastAsia="zh-CN"/>
        </w:rPr>
        <w:t>无。</w:t>
      </w:r>
    </w:p>
    <w:p w14:paraId="69D6B94D">
      <w:pPr>
        <w:outlineLvl w:val="0"/>
        <w:rPr>
          <w:b/>
          <w:sz w:val="28"/>
          <w:szCs w:val="28"/>
        </w:rPr>
      </w:pPr>
      <w:r>
        <w:rPr>
          <w:rFonts w:hint="eastAsia"/>
          <w:b/>
          <w:sz w:val="28"/>
          <w:szCs w:val="28"/>
        </w:rPr>
        <w:t>十二、其他应予说明的事项</w:t>
      </w:r>
    </w:p>
    <w:p w14:paraId="40959C96">
      <w:pPr>
        <w:ind w:firstLine="420" w:firstLineChars="0"/>
        <w:rPr>
          <w:rFonts w:hint="eastAsia" w:ascii="宋体" w:hAnsi="宋体" w:eastAsia="宋体"/>
          <w:lang w:val="en-US" w:eastAsia="zh-CN"/>
        </w:rPr>
      </w:pPr>
      <w:r>
        <w:rPr>
          <w:rFonts w:hint="eastAsia" w:ascii="宋体" w:hAnsi="宋体" w:eastAsia="宋体"/>
          <w:lang w:val="en-US" w:eastAsia="zh-CN"/>
        </w:rPr>
        <w:t>无。</w:t>
      </w:r>
    </w:p>
    <w:p w14:paraId="1A849357">
      <w:pPr>
        <w:rPr>
          <w:rFonts w:hint="eastAsia"/>
          <w:i/>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9457A"/>
    <w:multiLevelType w:val="singleLevel"/>
    <w:tmpl w:val="BF39457A"/>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3C03C19"/>
    <w:rsid w:val="100449D5"/>
    <w:rsid w:val="10333E3E"/>
    <w:rsid w:val="13333B2C"/>
    <w:rsid w:val="13635C01"/>
    <w:rsid w:val="1BE0687B"/>
    <w:rsid w:val="25364C93"/>
    <w:rsid w:val="298E35E5"/>
    <w:rsid w:val="2FD9152A"/>
    <w:rsid w:val="30AE4131"/>
    <w:rsid w:val="43483E86"/>
    <w:rsid w:val="475F0927"/>
    <w:rsid w:val="5C4C38A1"/>
    <w:rsid w:val="670630BA"/>
    <w:rsid w:val="6E13574A"/>
    <w:rsid w:val="76DE4712"/>
    <w:rsid w:val="7CCB79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imes New Roman"/>
      <w:kern w:val="2"/>
      <w:sz w:val="24"/>
      <w:szCs w:val="24"/>
      <w:lang w:val="en-US" w:eastAsia="zh-CN" w:bidi="ar-SA"/>
    </w:rPr>
  </w:style>
  <w:style w:type="character" w:default="1" w:styleId="6">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customStyle="1" w:styleId="2">
    <w:name w:val="正文报告"/>
    <w:basedOn w:val="1"/>
    <w:qFormat/>
    <w:uiPriority w:val="0"/>
    <w:pPr>
      <w:adjustRightInd w:val="0"/>
      <w:spacing w:line="460" w:lineRule="exact"/>
      <w:ind w:firstLine="482" w:firstLineChars="200"/>
    </w:pPr>
    <w:rPr>
      <w:kern w:val="0"/>
    </w:rPr>
  </w:style>
  <w:style w:type="paragraph" w:styleId="3">
    <w:name w:val="toc 1"/>
    <w:basedOn w:val="1"/>
    <w:next w:val="1"/>
    <w:qFormat/>
    <w:uiPriority w:val="39"/>
    <w:pPr>
      <w:widowControl w:val="0"/>
      <w:tabs>
        <w:tab w:val="left" w:pos="240"/>
        <w:tab w:val="right" w:leader="dot" w:pos="8921"/>
      </w:tabs>
      <w:spacing w:line="360" w:lineRule="auto"/>
    </w:pPr>
    <w:rPr>
      <w:rFonts w:ascii="Calibri" w:hAnsi="Calibri" w:cs="Calibri"/>
      <w:b/>
      <w:bCs/>
      <w:caps/>
      <w:kern w:val="2"/>
      <w:lang w:val="en-US" w:eastAsia="zh-CN" w:bidi="ar-SA"/>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3172</Words>
  <Characters>3324</Characters>
  <Lines>8</Lines>
  <Paragraphs>2</Paragraphs>
  <TotalTime>3</TotalTime>
  <ScaleCrop>false</ScaleCrop>
  <LinksUpToDate>false</LinksUpToDate>
  <CharactersWithSpaces>3334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野</cp:lastModifiedBy>
  <dcterms:modified xsi:type="dcterms:W3CDTF">2025-12-04T03:12:02Z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5CB3AE0C99FF4176AC83B5B5156437B5_13</vt:lpwstr>
  </property>
  <property fmtid="{D5CDD505-2E9C-101B-9397-08002B2CF9AE}" pid="4" name="KSOTemplateDocerSaveRecord">
    <vt:lpwstr>eyJoZGlkIjoiM2I0MzY5ZWUyNGQzNzg0ZmNlNjNmYjZkNjgxNzMzMjgiLCJ1c2VySWQiOiI1OTc5NDA3MzgifQ==</vt:lpwstr>
  </property>
</Properties>
</file>